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FAABD" w14:textId="77777777" w:rsidR="001D72EB" w:rsidRPr="001F56FB" w:rsidRDefault="001D72EB" w:rsidP="001D72EB">
      <w:pPr>
        <w:tabs>
          <w:tab w:val="left" w:pos="8364"/>
        </w:tabs>
        <w:jc w:val="center"/>
        <w:rPr>
          <w:b/>
        </w:rPr>
      </w:pPr>
      <w:r w:rsidRPr="001F56FB">
        <w:rPr>
          <w:b/>
        </w:rPr>
        <w:t>SAISTOŠIE NOTEIKUMI</w:t>
      </w:r>
    </w:p>
    <w:p w14:paraId="23AFAABF" w14:textId="77777777" w:rsidR="001D72EB" w:rsidRPr="001F56FB" w:rsidRDefault="001D72EB" w:rsidP="001D72EB">
      <w:pPr>
        <w:ind w:right="-186"/>
        <w:jc w:val="center"/>
        <w:rPr>
          <w:b/>
        </w:rPr>
      </w:pPr>
    </w:p>
    <w:p w14:paraId="23AFAAC0" w14:textId="2F636901" w:rsidR="001D72EB" w:rsidRPr="001F56FB" w:rsidRDefault="001D72EB" w:rsidP="001D72EB">
      <w:pPr>
        <w:tabs>
          <w:tab w:val="left" w:pos="8931"/>
        </w:tabs>
        <w:ind w:right="43"/>
        <w:jc w:val="both"/>
        <w:rPr>
          <w:bCs/>
        </w:rPr>
      </w:pPr>
      <w:r w:rsidRPr="001F56FB">
        <w:rPr>
          <w:bCs/>
        </w:rPr>
        <w:t>202</w:t>
      </w:r>
      <w:r>
        <w:rPr>
          <w:bCs/>
        </w:rPr>
        <w:t>2</w:t>
      </w:r>
      <w:r w:rsidRPr="001F56FB">
        <w:rPr>
          <w:bCs/>
        </w:rPr>
        <w:t>.</w:t>
      </w:r>
      <w:r>
        <w:rPr>
          <w:bCs/>
        </w:rPr>
        <w:t xml:space="preserve"> </w:t>
      </w:r>
      <w:r w:rsidRPr="001F56FB">
        <w:rPr>
          <w:bCs/>
        </w:rPr>
        <w:t>gada</w:t>
      </w:r>
      <w:r>
        <w:rPr>
          <w:bCs/>
        </w:rPr>
        <w:t xml:space="preserve"> </w:t>
      </w:r>
      <w:r w:rsidR="000E5CF0">
        <w:rPr>
          <w:bCs/>
        </w:rPr>
        <w:t>24</w:t>
      </w:r>
      <w:r>
        <w:rPr>
          <w:bCs/>
        </w:rPr>
        <w:t xml:space="preserve">. martā                                                                                          </w:t>
      </w:r>
      <w:r>
        <w:rPr>
          <w:bCs/>
        </w:rPr>
        <w:tab/>
        <w:t>Nr.</w:t>
      </w:r>
      <w:r w:rsidR="000E5CF0">
        <w:rPr>
          <w:bCs/>
        </w:rPr>
        <w:t>16</w:t>
      </w:r>
    </w:p>
    <w:p w14:paraId="23AFAAC1" w14:textId="77777777" w:rsidR="001D72EB" w:rsidRPr="001F56FB" w:rsidRDefault="001D72EB" w:rsidP="001D72EB">
      <w:pPr>
        <w:tabs>
          <w:tab w:val="left" w:pos="8931"/>
        </w:tabs>
        <w:ind w:right="43"/>
        <w:jc w:val="both"/>
        <w:rPr>
          <w:bCs/>
        </w:rPr>
      </w:pPr>
    </w:p>
    <w:p w14:paraId="23AFAAC2" w14:textId="77777777" w:rsidR="001D72EB" w:rsidRPr="001F56FB" w:rsidRDefault="001D72EB" w:rsidP="001D72EB">
      <w:pPr>
        <w:tabs>
          <w:tab w:val="left" w:pos="6255"/>
        </w:tabs>
        <w:contextualSpacing/>
        <w:jc w:val="right"/>
        <w:rPr>
          <w:rFonts w:eastAsia="Calibri"/>
          <w:b/>
        </w:rPr>
      </w:pPr>
      <w:r w:rsidRPr="001F56FB">
        <w:rPr>
          <w:rFonts w:eastAsia="Calibri"/>
          <w:b/>
        </w:rPr>
        <w:t>APSTIPRINĀTI</w:t>
      </w:r>
    </w:p>
    <w:p w14:paraId="23AFAAC3" w14:textId="77777777" w:rsidR="001D72EB" w:rsidRPr="001F56FB" w:rsidRDefault="001D72EB" w:rsidP="001D72EB">
      <w:pPr>
        <w:tabs>
          <w:tab w:val="left" w:pos="6255"/>
          <w:tab w:val="left" w:pos="7260"/>
        </w:tabs>
        <w:contextualSpacing/>
        <w:jc w:val="right"/>
        <w:rPr>
          <w:rFonts w:eastAsia="Calibri"/>
        </w:rPr>
      </w:pPr>
      <w:r w:rsidRPr="001F56FB">
        <w:rPr>
          <w:rFonts w:eastAsia="Calibri"/>
        </w:rPr>
        <w:t>ar Limbažu novada domes</w:t>
      </w:r>
    </w:p>
    <w:p w14:paraId="23AFAAC4" w14:textId="740307D4" w:rsidR="001D72EB" w:rsidRPr="001F56FB" w:rsidRDefault="000E5CF0" w:rsidP="001D72EB">
      <w:pPr>
        <w:tabs>
          <w:tab w:val="left" w:pos="6255"/>
          <w:tab w:val="left" w:pos="7260"/>
        </w:tabs>
        <w:contextualSpacing/>
        <w:jc w:val="right"/>
        <w:rPr>
          <w:rFonts w:eastAsia="Calibri"/>
        </w:rPr>
      </w:pPr>
      <w:r>
        <w:rPr>
          <w:rFonts w:eastAsia="Calibri"/>
        </w:rPr>
        <w:t>24</w:t>
      </w:r>
      <w:r w:rsidR="001D72EB" w:rsidRPr="001F56FB">
        <w:rPr>
          <w:rFonts w:eastAsia="Calibri"/>
        </w:rPr>
        <w:t>.</w:t>
      </w:r>
      <w:r w:rsidR="001D72EB">
        <w:rPr>
          <w:rFonts w:eastAsia="Calibri"/>
        </w:rPr>
        <w:t>03</w:t>
      </w:r>
      <w:r w:rsidR="001D72EB" w:rsidRPr="001F56FB">
        <w:rPr>
          <w:rFonts w:eastAsia="Calibri"/>
        </w:rPr>
        <w:t>.202</w:t>
      </w:r>
      <w:r w:rsidR="001D72EB">
        <w:rPr>
          <w:rFonts w:eastAsia="Calibri"/>
        </w:rPr>
        <w:t>2</w:t>
      </w:r>
      <w:r w:rsidR="001D72EB" w:rsidRPr="001F56FB">
        <w:rPr>
          <w:rFonts w:eastAsia="Calibri"/>
        </w:rPr>
        <w:t>. sēdes lēmumu</w:t>
      </w:r>
      <w:r>
        <w:rPr>
          <w:rFonts w:eastAsia="Calibri"/>
        </w:rPr>
        <w:t xml:space="preserve"> Nr.236</w:t>
      </w:r>
    </w:p>
    <w:p w14:paraId="23AFAAC5" w14:textId="3CD468EB" w:rsidR="001D72EB" w:rsidRDefault="001D72EB" w:rsidP="001D72EB">
      <w:pPr>
        <w:tabs>
          <w:tab w:val="left" w:pos="6255"/>
          <w:tab w:val="left" w:pos="7260"/>
        </w:tabs>
        <w:contextualSpacing/>
        <w:jc w:val="right"/>
        <w:rPr>
          <w:rFonts w:eastAsia="Calibri"/>
        </w:rPr>
      </w:pPr>
      <w:r w:rsidRPr="001F56FB">
        <w:rPr>
          <w:rFonts w:eastAsia="Calibri"/>
        </w:rPr>
        <w:t>(protokols Nr.</w:t>
      </w:r>
      <w:r w:rsidR="000E5CF0">
        <w:rPr>
          <w:rFonts w:eastAsia="Calibri"/>
        </w:rPr>
        <w:t>3</w:t>
      </w:r>
      <w:r w:rsidRPr="001F56FB">
        <w:rPr>
          <w:rFonts w:eastAsia="Calibri"/>
        </w:rPr>
        <w:t>,</w:t>
      </w:r>
      <w:r>
        <w:rPr>
          <w:rFonts w:eastAsia="Calibri"/>
        </w:rPr>
        <w:t xml:space="preserve"> </w:t>
      </w:r>
      <w:r w:rsidR="000E5CF0">
        <w:rPr>
          <w:rFonts w:eastAsia="Calibri"/>
        </w:rPr>
        <w:t>5</w:t>
      </w:r>
      <w:r w:rsidRPr="001F56FB">
        <w:rPr>
          <w:rFonts w:eastAsia="Calibri"/>
          <w:bCs/>
        </w:rPr>
        <w:t>.</w:t>
      </w:r>
      <w:r w:rsidRPr="001F56FB">
        <w:rPr>
          <w:rFonts w:eastAsia="Calibri"/>
        </w:rPr>
        <w:t>)</w:t>
      </w:r>
    </w:p>
    <w:p w14:paraId="23AFAAC6" w14:textId="77777777" w:rsidR="001D72EB" w:rsidRDefault="001D72EB" w:rsidP="001D72EB">
      <w:pPr>
        <w:tabs>
          <w:tab w:val="left" w:pos="6255"/>
          <w:tab w:val="left" w:pos="7260"/>
        </w:tabs>
        <w:contextualSpacing/>
        <w:jc w:val="right"/>
        <w:rPr>
          <w:rFonts w:eastAsia="Calibri"/>
        </w:rPr>
      </w:pPr>
    </w:p>
    <w:p w14:paraId="53D56C43" w14:textId="47335EE4" w:rsidR="00A37F81" w:rsidRPr="00A37F81" w:rsidRDefault="00A37F81" w:rsidP="00A37F81">
      <w:pPr>
        <w:jc w:val="center"/>
        <w:rPr>
          <w:b/>
          <w:sz w:val="28"/>
          <w:szCs w:val="28"/>
        </w:rPr>
      </w:pPr>
      <w:r w:rsidRPr="00A37F81">
        <w:rPr>
          <w:b/>
          <w:bCs/>
          <w:sz w:val="28"/>
          <w:szCs w:val="28"/>
        </w:rPr>
        <w:t xml:space="preserve">Grozījumi Limbažu novada </w:t>
      </w:r>
      <w:r>
        <w:rPr>
          <w:b/>
          <w:bCs/>
          <w:sz w:val="28"/>
          <w:szCs w:val="28"/>
        </w:rPr>
        <w:t xml:space="preserve">pašvaldības </w:t>
      </w:r>
      <w:r w:rsidRPr="00A37F81">
        <w:rPr>
          <w:b/>
          <w:bCs/>
          <w:sz w:val="28"/>
          <w:szCs w:val="28"/>
        </w:rPr>
        <w:t>domes 2021. gada 25. novembra saistoš</w:t>
      </w:r>
      <w:r>
        <w:rPr>
          <w:b/>
          <w:bCs/>
          <w:sz w:val="28"/>
          <w:szCs w:val="28"/>
        </w:rPr>
        <w:t>aj</w:t>
      </w:r>
      <w:r w:rsidRPr="00A37F81">
        <w:rPr>
          <w:b/>
          <w:bCs/>
          <w:sz w:val="28"/>
          <w:szCs w:val="28"/>
        </w:rPr>
        <w:t>os noteikumos Nr. 31 “</w:t>
      </w:r>
      <w:r w:rsidRPr="00A37F81">
        <w:rPr>
          <w:b/>
          <w:sz w:val="28"/>
          <w:szCs w:val="28"/>
        </w:rPr>
        <w:t>Par Limbažu novada pašvaldības palīdzību dzīvojamo telpu jautājumu risināšanā</w:t>
      </w:r>
      <w:r w:rsidRPr="00A37F81">
        <w:rPr>
          <w:b/>
          <w:bCs/>
          <w:sz w:val="28"/>
          <w:szCs w:val="28"/>
        </w:rPr>
        <w:t>”</w:t>
      </w:r>
    </w:p>
    <w:p w14:paraId="00120434" w14:textId="77777777" w:rsidR="00A37F81" w:rsidRDefault="00A37F81" w:rsidP="001D72EB">
      <w:pPr>
        <w:tabs>
          <w:tab w:val="left" w:pos="6255"/>
          <w:tab w:val="left" w:pos="7260"/>
        </w:tabs>
        <w:contextualSpacing/>
        <w:jc w:val="right"/>
        <w:rPr>
          <w:rFonts w:eastAsia="Calibri"/>
        </w:rPr>
      </w:pPr>
    </w:p>
    <w:p w14:paraId="23AFAAC7" w14:textId="77777777" w:rsidR="001D72EB" w:rsidRPr="00E21DF8" w:rsidRDefault="001D72EB" w:rsidP="001D72EB">
      <w:pPr>
        <w:pStyle w:val="naisc"/>
        <w:spacing w:before="0" w:after="0"/>
        <w:ind w:left="3686"/>
        <w:jc w:val="right"/>
        <w:rPr>
          <w:i/>
          <w:sz w:val="22"/>
          <w:szCs w:val="22"/>
        </w:rPr>
      </w:pPr>
      <w:r w:rsidRPr="00E21DF8">
        <w:rPr>
          <w:i/>
          <w:sz w:val="22"/>
          <w:szCs w:val="22"/>
        </w:rPr>
        <w:t>Izdoti saskaņā ar</w:t>
      </w:r>
    </w:p>
    <w:p w14:paraId="49C79F14" w14:textId="77777777" w:rsidR="00A37F81" w:rsidRDefault="001D72EB" w:rsidP="001D72EB">
      <w:pPr>
        <w:tabs>
          <w:tab w:val="left" w:pos="6255"/>
          <w:tab w:val="left" w:pos="7260"/>
        </w:tabs>
        <w:contextualSpacing/>
        <w:jc w:val="right"/>
        <w:rPr>
          <w:i/>
          <w:sz w:val="22"/>
          <w:szCs w:val="22"/>
        </w:rPr>
      </w:pPr>
      <w:r w:rsidRPr="00E21DF8">
        <w:rPr>
          <w:i/>
          <w:sz w:val="22"/>
          <w:szCs w:val="22"/>
        </w:rPr>
        <w:t xml:space="preserve"> likuma „Par palīdzību dzīvokļa jautājumu risināšanā”</w:t>
      </w:r>
    </w:p>
    <w:p w14:paraId="37615DEA" w14:textId="77777777" w:rsidR="00A37F81" w:rsidRDefault="001D72EB" w:rsidP="001D72EB">
      <w:pPr>
        <w:tabs>
          <w:tab w:val="left" w:pos="6255"/>
          <w:tab w:val="left" w:pos="7260"/>
        </w:tabs>
        <w:contextualSpacing/>
        <w:jc w:val="right"/>
        <w:rPr>
          <w:i/>
          <w:sz w:val="22"/>
          <w:szCs w:val="22"/>
        </w:rPr>
      </w:pPr>
      <w:r w:rsidRPr="00E21DF8">
        <w:rPr>
          <w:i/>
          <w:sz w:val="22"/>
          <w:szCs w:val="22"/>
        </w:rPr>
        <w:t xml:space="preserve"> 6.panta otro daļu, 14.panta pirmās daļas 1.punkta „c” apakšpunktu,</w:t>
      </w:r>
    </w:p>
    <w:p w14:paraId="5832E017" w14:textId="11082ECC" w:rsidR="00A37F81" w:rsidRDefault="001D72EB" w:rsidP="001D72EB">
      <w:pPr>
        <w:tabs>
          <w:tab w:val="left" w:pos="6255"/>
          <w:tab w:val="left" w:pos="7260"/>
        </w:tabs>
        <w:contextualSpacing/>
        <w:jc w:val="right"/>
        <w:rPr>
          <w:i/>
          <w:sz w:val="22"/>
          <w:szCs w:val="22"/>
        </w:rPr>
      </w:pPr>
      <w:r w:rsidRPr="00E21DF8">
        <w:rPr>
          <w:i/>
          <w:sz w:val="22"/>
          <w:szCs w:val="22"/>
        </w:rPr>
        <w:t xml:space="preserve"> 14.panta astoto daļu, 15.pantu, 17.panta </w:t>
      </w:r>
      <w:r w:rsidR="00776261">
        <w:rPr>
          <w:i/>
          <w:sz w:val="22"/>
          <w:szCs w:val="22"/>
        </w:rPr>
        <w:t>otro</w:t>
      </w:r>
      <w:r w:rsidRPr="00E21DF8">
        <w:rPr>
          <w:i/>
          <w:sz w:val="22"/>
          <w:szCs w:val="22"/>
        </w:rPr>
        <w:t xml:space="preserve"> daļu,</w:t>
      </w:r>
    </w:p>
    <w:p w14:paraId="0255CE5F" w14:textId="77777777" w:rsidR="00776261" w:rsidRDefault="001D72EB" w:rsidP="001D72EB">
      <w:pPr>
        <w:tabs>
          <w:tab w:val="left" w:pos="6255"/>
          <w:tab w:val="left" w:pos="7260"/>
        </w:tabs>
        <w:contextualSpacing/>
        <w:jc w:val="right"/>
        <w:rPr>
          <w:i/>
          <w:sz w:val="22"/>
          <w:szCs w:val="22"/>
        </w:rPr>
      </w:pPr>
      <w:r w:rsidRPr="00E21DF8">
        <w:rPr>
          <w:i/>
          <w:sz w:val="22"/>
          <w:szCs w:val="22"/>
        </w:rPr>
        <w:t xml:space="preserve"> 21.</w:t>
      </w:r>
      <w:r w:rsidRPr="00E21DF8">
        <w:rPr>
          <w:i/>
          <w:sz w:val="22"/>
          <w:szCs w:val="22"/>
          <w:vertAlign w:val="superscript"/>
        </w:rPr>
        <w:t>1</w:t>
      </w:r>
      <w:r w:rsidRPr="00E21DF8">
        <w:rPr>
          <w:i/>
          <w:sz w:val="22"/>
          <w:szCs w:val="22"/>
        </w:rPr>
        <w:t xml:space="preserve"> </w:t>
      </w:r>
      <w:r>
        <w:rPr>
          <w:i/>
          <w:sz w:val="22"/>
          <w:szCs w:val="22"/>
        </w:rPr>
        <w:t xml:space="preserve">panta </w:t>
      </w:r>
      <w:r w:rsidRPr="00135951">
        <w:rPr>
          <w:i/>
          <w:color w:val="000000" w:themeColor="text1"/>
          <w:sz w:val="22"/>
          <w:szCs w:val="22"/>
        </w:rPr>
        <w:t>otro daļu, 21</w:t>
      </w:r>
      <w:r w:rsidRPr="00E21DF8">
        <w:rPr>
          <w:i/>
          <w:sz w:val="22"/>
          <w:szCs w:val="22"/>
        </w:rPr>
        <w:t>.</w:t>
      </w:r>
      <w:r w:rsidRPr="00E21DF8">
        <w:rPr>
          <w:i/>
          <w:sz w:val="22"/>
          <w:szCs w:val="22"/>
          <w:vertAlign w:val="superscript"/>
        </w:rPr>
        <w:t>2</w:t>
      </w:r>
      <w:r w:rsidRPr="00E21DF8">
        <w:rPr>
          <w:i/>
          <w:sz w:val="22"/>
          <w:szCs w:val="22"/>
        </w:rPr>
        <w:t xml:space="preserve"> panta</w:t>
      </w:r>
      <w:r w:rsidR="00A37F81">
        <w:rPr>
          <w:i/>
          <w:sz w:val="22"/>
          <w:szCs w:val="22"/>
        </w:rPr>
        <w:t xml:space="preserve"> otro daļu,</w:t>
      </w:r>
    </w:p>
    <w:p w14:paraId="0A6D7C7A" w14:textId="30DABB20" w:rsidR="00776261" w:rsidRPr="00FE46E1" w:rsidRDefault="00A37F81" w:rsidP="001D72EB">
      <w:pPr>
        <w:tabs>
          <w:tab w:val="left" w:pos="6255"/>
          <w:tab w:val="left" w:pos="7260"/>
        </w:tabs>
        <w:contextualSpacing/>
        <w:jc w:val="right"/>
        <w:rPr>
          <w:rFonts w:eastAsia="Calibri"/>
          <w:i/>
          <w:sz w:val="22"/>
          <w:szCs w:val="22"/>
        </w:rPr>
      </w:pPr>
      <w:r w:rsidRPr="00FE46E1">
        <w:rPr>
          <w:i/>
          <w:sz w:val="22"/>
          <w:szCs w:val="22"/>
        </w:rPr>
        <w:t xml:space="preserve"> </w:t>
      </w:r>
      <w:r w:rsidR="00776261" w:rsidRPr="00FE46E1">
        <w:rPr>
          <w:rFonts w:eastAsia="Calibri"/>
          <w:i/>
          <w:sz w:val="22"/>
          <w:szCs w:val="22"/>
        </w:rPr>
        <w:t>21.</w:t>
      </w:r>
      <w:r w:rsidR="00776261" w:rsidRPr="00FE46E1">
        <w:rPr>
          <w:rFonts w:eastAsia="Calibri"/>
          <w:i/>
          <w:sz w:val="22"/>
          <w:szCs w:val="22"/>
          <w:vertAlign w:val="superscript"/>
        </w:rPr>
        <w:t>7</w:t>
      </w:r>
      <w:r w:rsidR="00776261" w:rsidRPr="00FE46E1">
        <w:rPr>
          <w:rFonts w:eastAsia="Calibri"/>
          <w:i/>
          <w:sz w:val="22"/>
          <w:szCs w:val="22"/>
        </w:rPr>
        <w:t xml:space="preserve"> panta pirmo daļu, 21.</w:t>
      </w:r>
      <w:r w:rsidR="00776261" w:rsidRPr="00FE46E1">
        <w:rPr>
          <w:rFonts w:eastAsia="Calibri"/>
          <w:i/>
          <w:sz w:val="22"/>
          <w:szCs w:val="22"/>
          <w:vertAlign w:val="superscript"/>
        </w:rPr>
        <w:t>9</w:t>
      </w:r>
      <w:r w:rsidR="00776261" w:rsidRPr="00FE46E1">
        <w:rPr>
          <w:rFonts w:eastAsia="Calibri"/>
          <w:i/>
          <w:sz w:val="22"/>
          <w:szCs w:val="22"/>
        </w:rPr>
        <w:t xml:space="preserve"> panta otro daļu,</w:t>
      </w:r>
    </w:p>
    <w:p w14:paraId="23AFAAC8" w14:textId="254CF9F0" w:rsidR="001D72EB" w:rsidRPr="001F56FB" w:rsidRDefault="00A37F81" w:rsidP="001D72EB">
      <w:pPr>
        <w:tabs>
          <w:tab w:val="left" w:pos="6255"/>
          <w:tab w:val="left" w:pos="7260"/>
        </w:tabs>
        <w:contextualSpacing/>
        <w:jc w:val="right"/>
        <w:rPr>
          <w:rFonts w:eastAsia="Calibri"/>
        </w:rPr>
      </w:pPr>
      <w:r>
        <w:rPr>
          <w:i/>
          <w:sz w:val="22"/>
          <w:szCs w:val="22"/>
        </w:rPr>
        <w:t>24.panta pirmo daļu</w:t>
      </w:r>
    </w:p>
    <w:p w14:paraId="23AFAAC9" w14:textId="77777777" w:rsidR="001D72EB" w:rsidRDefault="001D72EB" w:rsidP="001D72EB">
      <w:pPr>
        <w:jc w:val="center"/>
        <w:rPr>
          <w:b/>
          <w:bCs/>
        </w:rPr>
      </w:pPr>
    </w:p>
    <w:p w14:paraId="23AFAACE" w14:textId="77777777" w:rsidR="001D72EB" w:rsidRPr="00D53893" w:rsidRDefault="001D72EB" w:rsidP="001D72EB">
      <w:pPr>
        <w:overflowPunct w:val="0"/>
        <w:autoSpaceDE w:val="0"/>
        <w:autoSpaceDN w:val="0"/>
        <w:adjustRightInd w:val="0"/>
        <w:ind w:firstLine="567"/>
        <w:contextualSpacing/>
        <w:jc w:val="both"/>
        <w:textAlignment w:val="baseline"/>
        <w:rPr>
          <w:rFonts w:eastAsia="Calibri"/>
          <w:b/>
          <w:bCs/>
        </w:rPr>
      </w:pPr>
    </w:p>
    <w:p w14:paraId="23AFAACF" w14:textId="025A886D" w:rsidR="001D72EB" w:rsidRPr="00D53893" w:rsidRDefault="001D72EB" w:rsidP="00C05559">
      <w:pPr>
        <w:autoSpaceDE w:val="0"/>
        <w:autoSpaceDN w:val="0"/>
        <w:adjustRightInd w:val="0"/>
        <w:ind w:firstLine="720"/>
        <w:contextualSpacing/>
        <w:jc w:val="both"/>
        <w:rPr>
          <w:rFonts w:eastAsia="Calibri"/>
          <w:bCs/>
        </w:rPr>
      </w:pPr>
      <w:r>
        <w:rPr>
          <w:rFonts w:eastAsia="Calibri"/>
        </w:rPr>
        <w:t>Izdarīt</w:t>
      </w:r>
      <w:r w:rsidRPr="00D53893">
        <w:rPr>
          <w:rFonts w:eastAsia="Calibri"/>
        </w:rPr>
        <w:t xml:space="preserve"> Limbažu novada pašvaldības domes 2021. gada </w:t>
      </w:r>
      <w:r w:rsidRPr="00D53893">
        <w:rPr>
          <w:rFonts w:eastAsia="Calibri"/>
          <w:bCs/>
        </w:rPr>
        <w:t>25. novembra saistoš</w:t>
      </w:r>
      <w:r w:rsidR="004310BA">
        <w:rPr>
          <w:rFonts w:eastAsia="Calibri"/>
          <w:bCs/>
        </w:rPr>
        <w:t>aj</w:t>
      </w:r>
      <w:r w:rsidR="000E5CF0">
        <w:rPr>
          <w:rFonts w:eastAsia="Calibri"/>
          <w:bCs/>
        </w:rPr>
        <w:t>os noteikumo</w:t>
      </w:r>
      <w:r w:rsidRPr="00D53893">
        <w:rPr>
          <w:rFonts w:eastAsia="Calibri"/>
          <w:bCs/>
        </w:rPr>
        <w:t>s Nr.3</w:t>
      </w:r>
      <w:r>
        <w:rPr>
          <w:rFonts w:eastAsia="Calibri"/>
          <w:bCs/>
        </w:rPr>
        <w:t>1</w:t>
      </w:r>
      <w:r w:rsidRPr="00D53893">
        <w:rPr>
          <w:rFonts w:eastAsia="Calibri"/>
          <w:bCs/>
        </w:rPr>
        <w:t xml:space="preserve"> „</w:t>
      </w:r>
      <w:r w:rsidRPr="00CC33CD">
        <w:t>Par Limbažu novada pašvaldības palīdzību dzīvojamo telpu jautājumu risināšanā</w:t>
      </w:r>
      <w:r w:rsidRPr="00D53893">
        <w:rPr>
          <w:rFonts w:eastAsia="Calibri"/>
          <w:bCs/>
        </w:rPr>
        <w:t>”</w:t>
      </w:r>
      <w:r>
        <w:rPr>
          <w:rFonts w:eastAsia="Calibri"/>
          <w:bCs/>
        </w:rPr>
        <w:t xml:space="preserve"> šādus grozījumus</w:t>
      </w:r>
      <w:r w:rsidRPr="00D53893">
        <w:rPr>
          <w:rFonts w:eastAsia="Calibri"/>
        </w:rPr>
        <w:t xml:space="preserve">: </w:t>
      </w:r>
    </w:p>
    <w:p w14:paraId="23AFAAD0" w14:textId="2F2501BF" w:rsidR="001D72EB" w:rsidRPr="00C05559" w:rsidRDefault="000E5CF0" w:rsidP="00C05559">
      <w:pPr>
        <w:pStyle w:val="Sarakstarindkopa"/>
        <w:numPr>
          <w:ilvl w:val="0"/>
          <w:numId w:val="4"/>
        </w:numPr>
        <w:tabs>
          <w:tab w:val="left" w:pos="1276"/>
        </w:tabs>
        <w:autoSpaceDE w:val="0"/>
        <w:autoSpaceDN w:val="0"/>
        <w:adjustRightInd w:val="0"/>
        <w:jc w:val="both"/>
        <w:rPr>
          <w:rFonts w:eastAsia="Calibri"/>
        </w:rPr>
      </w:pPr>
      <w:bookmarkStart w:id="0" w:name="_Hlk90908378"/>
      <w:r w:rsidRPr="00C05559">
        <w:rPr>
          <w:rFonts w:eastAsia="Calibri"/>
        </w:rPr>
        <w:t>i</w:t>
      </w:r>
      <w:r w:rsidR="001D72EB" w:rsidRPr="00C05559">
        <w:rPr>
          <w:rFonts w:eastAsia="Calibri"/>
        </w:rPr>
        <w:t>zteikt saistošo noteikumu izdošanas tiesisko pamatojumu šādā redakcijā:</w:t>
      </w:r>
    </w:p>
    <w:p w14:paraId="23AFAAD1" w14:textId="1F88113B" w:rsidR="001D72EB" w:rsidRDefault="000E5CF0" w:rsidP="000E5CF0">
      <w:pPr>
        <w:tabs>
          <w:tab w:val="left" w:pos="1276"/>
        </w:tabs>
        <w:autoSpaceDE w:val="0"/>
        <w:autoSpaceDN w:val="0"/>
        <w:adjustRightInd w:val="0"/>
        <w:ind w:left="964" w:hanging="567"/>
        <w:contextualSpacing/>
        <w:jc w:val="both"/>
        <w:rPr>
          <w:rFonts w:eastAsia="Calibri"/>
          <w:bCs/>
        </w:rPr>
      </w:pPr>
      <w:r>
        <w:rPr>
          <w:rFonts w:eastAsia="Calibri"/>
        </w:rPr>
        <w:tab/>
      </w:r>
      <w:r w:rsidR="001D72EB">
        <w:rPr>
          <w:rFonts w:eastAsia="Calibri"/>
        </w:rPr>
        <w:t>“</w:t>
      </w:r>
      <w:r w:rsidR="001D72EB" w:rsidRPr="00E8685D">
        <w:rPr>
          <w:rFonts w:eastAsia="Calibri"/>
        </w:rPr>
        <w:t xml:space="preserve">Izdoti saskaņā ar likuma „Par palīdzību dzīvokļa jautājumu risināšanā” 6.panta otro daļu, 14.panta pirmās daļas 1.punkta „c” apakšpunktu, 14.panta astoto daļu, 15.pantu, 17.panta </w:t>
      </w:r>
      <w:r w:rsidR="00776261">
        <w:rPr>
          <w:rFonts w:eastAsia="Calibri"/>
        </w:rPr>
        <w:t>otro</w:t>
      </w:r>
      <w:r w:rsidR="001D72EB" w:rsidRPr="00E8685D">
        <w:rPr>
          <w:rFonts w:eastAsia="Calibri"/>
        </w:rPr>
        <w:t xml:space="preserve"> daļu, 2</w:t>
      </w:r>
      <w:bookmarkStart w:id="1" w:name="_GoBack"/>
      <w:bookmarkEnd w:id="1"/>
      <w:r w:rsidR="001D72EB" w:rsidRPr="00E8685D">
        <w:rPr>
          <w:rFonts w:eastAsia="Calibri"/>
        </w:rPr>
        <w:t>1.</w:t>
      </w:r>
      <w:r w:rsidR="001D72EB" w:rsidRPr="000E5CF0">
        <w:rPr>
          <w:rFonts w:eastAsia="Calibri"/>
          <w:vertAlign w:val="superscript"/>
        </w:rPr>
        <w:t>1</w:t>
      </w:r>
      <w:r w:rsidR="001D72EB" w:rsidRPr="00E8685D">
        <w:rPr>
          <w:rFonts w:eastAsia="Calibri"/>
        </w:rPr>
        <w:t xml:space="preserve"> panta otro daļu, 21.</w:t>
      </w:r>
      <w:r w:rsidR="001D72EB" w:rsidRPr="000E5CF0">
        <w:rPr>
          <w:rFonts w:eastAsia="Calibri"/>
          <w:vertAlign w:val="superscript"/>
        </w:rPr>
        <w:t>2</w:t>
      </w:r>
      <w:r w:rsidR="001D72EB" w:rsidRPr="00E8685D">
        <w:rPr>
          <w:rFonts w:eastAsia="Calibri"/>
        </w:rPr>
        <w:t xml:space="preserve"> panta otro daļu, 21.</w:t>
      </w:r>
      <w:r w:rsidR="001D72EB" w:rsidRPr="00E8685D">
        <w:rPr>
          <w:rFonts w:eastAsia="Calibri"/>
          <w:vertAlign w:val="superscript"/>
        </w:rPr>
        <w:t>7</w:t>
      </w:r>
      <w:r w:rsidR="001D72EB" w:rsidRPr="00E8685D">
        <w:rPr>
          <w:rFonts w:eastAsia="Calibri"/>
        </w:rPr>
        <w:t xml:space="preserve"> panta </w:t>
      </w:r>
      <w:r w:rsidR="00776261">
        <w:rPr>
          <w:rFonts w:eastAsia="Calibri"/>
        </w:rPr>
        <w:t>pirmo</w:t>
      </w:r>
      <w:r w:rsidR="001D72EB" w:rsidRPr="00E8685D">
        <w:rPr>
          <w:rFonts w:eastAsia="Calibri"/>
        </w:rPr>
        <w:t xml:space="preserve"> daļu, 21.</w:t>
      </w:r>
      <w:r w:rsidR="001D72EB" w:rsidRPr="00E8685D">
        <w:rPr>
          <w:rFonts w:eastAsia="Calibri"/>
          <w:vertAlign w:val="superscript"/>
        </w:rPr>
        <w:t>9</w:t>
      </w:r>
      <w:r w:rsidR="001D72EB" w:rsidRPr="00E8685D">
        <w:rPr>
          <w:rFonts w:eastAsia="Calibri"/>
        </w:rPr>
        <w:t xml:space="preserve"> panta </w:t>
      </w:r>
      <w:r w:rsidR="001D72EB">
        <w:rPr>
          <w:rFonts w:eastAsia="Calibri"/>
        </w:rPr>
        <w:t>otro daļu</w:t>
      </w:r>
      <w:r w:rsidR="00776261">
        <w:rPr>
          <w:rFonts w:eastAsia="Calibri"/>
        </w:rPr>
        <w:t>,</w:t>
      </w:r>
      <w:r w:rsidR="001D72EB">
        <w:rPr>
          <w:rFonts w:eastAsia="Calibri"/>
        </w:rPr>
        <w:t xml:space="preserve"> 24. panta pirmo daļu”</w:t>
      </w:r>
      <w:r w:rsidR="001D72EB" w:rsidRPr="00E8685D">
        <w:rPr>
          <w:rFonts w:eastAsia="Calibri"/>
        </w:rPr>
        <w:t>;</w:t>
      </w:r>
      <w:r w:rsidR="001D72EB" w:rsidRPr="00E8685D">
        <w:rPr>
          <w:rFonts w:eastAsia="Calibri"/>
          <w:bCs/>
        </w:rPr>
        <w:t xml:space="preserve"> </w:t>
      </w:r>
    </w:p>
    <w:p w14:paraId="23AFAAD2" w14:textId="30A9ED6D" w:rsidR="001D72EB" w:rsidRPr="00C46109" w:rsidRDefault="000E5CF0" w:rsidP="00C05559">
      <w:pPr>
        <w:pStyle w:val="Sarakstarindkopa"/>
        <w:numPr>
          <w:ilvl w:val="0"/>
          <w:numId w:val="4"/>
        </w:numPr>
        <w:tabs>
          <w:tab w:val="left" w:pos="1276"/>
        </w:tabs>
        <w:autoSpaceDE w:val="0"/>
        <w:autoSpaceDN w:val="0"/>
        <w:adjustRightInd w:val="0"/>
        <w:jc w:val="both"/>
      </w:pPr>
      <w:r w:rsidRPr="00C05559">
        <w:rPr>
          <w:rFonts w:eastAsia="Calibri"/>
          <w:bCs/>
        </w:rPr>
        <w:t>i</w:t>
      </w:r>
      <w:r w:rsidR="001D72EB" w:rsidRPr="00C05559">
        <w:rPr>
          <w:rFonts w:eastAsia="Calibri"/>
          <w:bCs/>
        </w:rPr>
        <w:t>zt</w:t>
      </w:r>
      <w:r w:rsidRPr="00C05559">
        <w:rPr>
          <w:rFonts w:eastAsia="Calibri"/>
          <w:bCs/>
        </w:rPr>
        <w:t>eikt</w:t>
      </w:r>
      <w:r w:rsidR="001D72EB" w:rsidRPr="00C05559">
        <w:rPr>
          <w:rFonts w:eastAsia="Calibri"/>
          <w:bCs/>
        </w:rPr>
        <w:t xml:space="preserve"> 3.2.punktu šādā redakcijā</w:t>
      </w:r>
      <w:bookmarkStart w:id="2" w:name="_Hlk90908218"/>
      <w:bookmarkEnd w:id="0"/>
      <w:r w:rsidR="001D72EB" w:rsidRPr="00C05559">
        <w:rPr>
          <w:rFonts w:eastAsia="Calibri"/>
          <w:bCs/>
        </w:rPr>
        <w:t>:</w:t>
      </w:r>
    </w:p>
    <w:p w14:paraId="23AFAAD3" w14:textId="7CC8D9FC" w:rsidR="001D72EB" w:rsidRDefault="000E5CF0" w:rsidP="000E5CF0">
      <w:pPr>
        <w:pStyle w:val="Sarakstarindkopa"/>
        <w:tabs>
          <w:tab w:val="left" w:pos="1276"/>
        </w:tabs>
        <w:autoSpaceDE w:val="0"/>
        <w:autoSpaceDN w:val="0"/>
        <w:adjustRightInd w:val="0"/>
        <w:ind w:left="964" w:hanging="567"/>
        <w:jc w:val="both"/>
        <w:rPr>
          <w:rFonts w:eastAsia="Calibri"/>
          <w:bCs/>
        </w:rPr>
      </w:pPr>
      <w:r>
        <w:rPr>
          <w:rFonts w:eastAsia="Calibri"/>
          <w:bCs/>
        </w:rPr>
        <w:tab/>
      </w:r>
      <w:r w:rsidR="001D72EB">
        <w:rPr>
          <w:rFonts w:eastAsia="Calibri"/>
          <w:bCs/>
        </w:rPr>
        <w:t xml:space="preserve">“3.2. </w:t>
      </w:r>
      <w:r w:rsidR="001D72EB" w:rsidRPr="00C46109">
        <w:rPr>
          <w:rFonts w:eastAsia="Calibri"/>
          <w:bCs/>
        </w:rPr>
        <w:t>Pārvalde - Limbažu apvienības pārvalde; Katvaru pagasta pakalpojumu sniegšanas centrs; Limbažu pagasta pakalpojumu sniegšanas centrs; Pāles pagasta pakalpojumu sniegšanas centrs; Skultes pagasta pakalpojumu sniegšanas centrs; Umurgas pagasta pakalpojumu sniegšanas centrs; Vidrižu pagasta pakalpojumu sniegšanas centrs; Viļķenes pagasta pakalpojumu sniegšanas centrs; Salacgrīvas apvienības pārvalde; Ainažu pilsētas un pagasta pakalpojumu sniegšanas centrs; Liepupes pagasta pakalpojumu sniegšanas centrs; Alojas apvienības pārvalde; Staiceles pilsētas un pagasta pakalpojumu sniegšanas centrs; Braslavas pagasta pakalpojumu sniegšanas centrs; Brīvzemnieku pagasta pakalpojumu sniegšanas centrs.</w:t>
      </w:r>
      <w:r w:rsidR="001D72EB">
        <w:rPr>
          <w:rFonts w:eastAsia="Calibri"/>
          <w:bCs/>
        </w:rPr>
        <w:t>”;</w:t>
      </w:r>
    </w:p>
    <w:p w14:paraId="23AFAAD4" w14:textId="4764F976" w:rsidR="001D72EB" w:rsidRPr="00BD64FB" w:rsidRDefault="000E5CF0" w:rsidP="00C05559">
      <w:pPr>
        <w:pStyle w:val="Sarakstarindkopa"/>
        <w:numPr>
          <w:ilvl w:val="0"/>
          <w:numId w:val="4"/>
        </w:numPr>
        <w:tabs>
          <w:tab w:val="left" w:pos="1276"/>
        </w:tabs>
        <w:autoSpaceDE w:val="0"/>
        <w:autoSpaceDN w:val="0"/>
        <w:adjustRightInd w:val="0"/>
        <w:jc w:val="both"/>
      </w:pPr>
      <w:r>
        <w:t>s</w:t>
      </w:r>
      <w:r w:rsidR="001D72EB">
        <w:t>vītrot 4 punktā vārdus “</w:t>
      </w:r>
      <w:r w:rsidR="001D72EB" w:rsidRPr="00C46109">
        <w:t>likums „Par sociālajiem dzīvokļiem un sociālajām dzīvojamām mājām”</w:t>
      </w:r>
      <w:r>
        <w:t>”</w:t>
      </w:r>
      <w:r w:rsidR="001D72EB">
        <w:t>;</w:t>
      </w:r>
    </w:p>
    <w:p w14:paraId="23AFAAD5" w14:textId="6084F68E" w:rsidR="001D72EB" w:rsidRPr="00C05559" w:rsidRDefault="000E5CF0" w:rsidP="00C05559">
      <w:pPr>
        <w:pStyle w:val="Sarakstarindkopa"/>
        <w:numPr>
          <w:ilvl w:val="0"/>
          <w:numId w:val="4"/>
        </w:numPr>
        <w:autoSpaceDE w:val="0"/>
        <w:autoSpaceDN w:val="0"/>
        <w:adjustRightInd w:val="0"/>
        <w:jc w:val="both"/>
        <w:rPr>
          <w:rFonts w:eastAsia="Calibri"/>
          <w:bCs/>
          <w:iCs/>
        </w:rPr>
      </w:pPr>
      <w:r w:rsidRPr="00C05559">
        <w:rPr>
          <w:rFonts w:eastAsia="Calibri"/>
          <w:bCs/>
        </w:rPr>
        <w:t>s</w:t>
      </w:r>
      <w:r w:rsidR="001D72EB" w:rsidRPr="00C05559">
        <w:rPr>
          <w:rFonts w:eastAsia="Calibri"/>
          <w:bCs/>
        </w:rPr>
        <w:t xml:space="preserve">vītrot 12.punktā vārdus “pilsētas un pagastu”; </w:t>
      </w:r>
    </w:p>
    <w:bookmarkEnd w:id="2"/>
    <w:p w14:paraId="23AFAAD6" w14:textId="13B09D29" w:rsidR="001D72EB" w:rsidRPr="00C05559" w:rsidRDefault="000E5CF0" w:rsidP="00C05559">
      <w:pPr>
        <w:pStyle w:val="Sarakstarindkopa"/>
        <w:numPr>
          <w:ilvl w:val="0"/>
          <w:numId w:val="4"/>
        </w:numPr>
        <w:jc w:val="both"/>
        <w:rPr>
          <w:rFonts w:eastAsia="Calibri"/>
          <w:bCs/>
          <w:color w:val="000000" w:themeColor="text1"/>
        </w:rPr>
      </w:pPr>
      <w:r w:rsidRPr="00C05559">
        <w:rPr>
          <w:rFonts w:eastAsia="Calibri"/>
          <w:bCs/>
          <w:color w:val="000000" w:themeColor="text1"/>
        </w:rPr>
        <w:t>a</w:t>
      </w:r>
      <w:r w:rsidR="001D72EB" w:rsidRPr="00C05559">
        <w:rPr>
          <w:rFonts w:eastAsia="Calibri"/>
          <w:bCs/>
          <w:color w:val="000000" w:themeColor="text1"/>
        </w:rPr>
        <w:t xml:space="preserve">izstāt 16.punktā vārdus “Par sociālajiem dzīvokļiem un sociālajām dzīvojamām mājām” ar vārdiem ”Par palīdzību dzīvokļa jautājumu risināšanā”; </w:t>
      </w:r>
    </w:p>
    <w:p w14:paraId="23AFAAD7" w14:textId="6564920D" w:rsidR="001D72EB" w:rsidRPr="00C05559" w:rsidRDefault="000E5CF0" w:rsidP="00C05559">
      <w:pPr>
        <w:pStyle w:val="Sarakstarindkopa"/>
        <w:numPr>
          <w:ilvl w:val="0"/>
          <w:numId w:val="4"/>
        </w:numPr>
        <w:autoSpaceDE w:val="0"/>
        <w:autoSpaceDN w:val="0"/>
        <w:adjustRightInd w:val="0"/>
        <w:jc w:val="both"/>
        <w:rPr>
          <w:rFonts w:eastAsia="Calibri"/>
          <w:bCs/>
          <w:color w:val="000000" w:themeColor="text1"/>
        </w:rPr>
      </w:pPr>
      <w:r w:rsidRPr="00C05559">
        <w:rPr>
          <w:rFonts w:eastAsia="Calibri"/>
          <w:bCs/>
          <w:color w:val="000000" w:themeColor="text1"/>
        </w:rPr>
        <w:lastRenderedPageBreak/>
        <w:t>a</w:t>
      </w:r>
      <w:r w:rsidR="001D72EB" w:rsidRPr="00C05559">
        <w:rPr>
          <w:rFonts w:eastAsia="Calibri"/>
          <w:bCs/>
          <w:color w:val="000000" w:themeColor="text1"/>
        </w:rPr>
        <w:t>izstāt 60.punktā vārdu “Dome” ar vārdu “ Komisija”;</w:t>
      </w:r>
    </w:p>
    <w:p w14:paraId="23AFAAD8" w14:textId="357667BB" w:rsidR="003F0195" w:rsidRPr="00C05559" w:rsidRDefault="000E5CF0" w:rsidP="00C05559">
      <w:pPr>
        <w:pStyle w:val="Sarakstarindkopa"/>
        <w:numPr>
          <w:ilvl w:val="0"/>
          <w:numId w:val="4"/>
        </w:numPr>
        <w:autoSpaceDE w:val="0"/>
        <w:autoSpaceDN w:val="0"/>
        <w:adjustRightInd w:val="0"/>
        <w:jc w:val="both"/>
        <w:rPr>
          <w:rFonts w:eastAsia="Calibri"/>
          <w:color w:val="000000" w:themeColor="text1"/>
        </w:rPr>
      </w:pPr>
      <w:r w:rsidRPr="00C05559">
        <w:rPr>
          <w:rFonts w:eastAsia="Calibri"/>
          <w:bCs/>
          <w:color w:val="000000" w:themeColor="text1"/>
        </w:rPr>
        <w:t>s</w:t>
      </w:r>
      <w:r w:rsidR="00EB315B" w:rsidRPr="00C05559">
        <w:rPr>
          <w:rFonts w:eastAsia="Calibri"/>
          <w:bCs/>
          <w:color w:val="000000" w:themeColor="text1"/>
        </w:rPr>
        <w:t xml:space="preserve">vītrot </w:t>
      </w:r>
      <w:r w:rsidR="003F0195" w:rsidRPr="00C05559">
        <w:rPr>
          <w:rFonts w:eastAsia="Calibri"/>
          <w:bCs/>
          <w:color w:val="000000" w:themeColor="text1"/>
        </w:rPr>
        <w:t>61.2.</w:t>
      </w:r>
      <w:r w:rsidR="00EB315B" w:rsidRPr="00C05559">
        <w:rPr>
          <w:rFonts w:eastAsia="Calibri"/>
          <w:bCs/>
          <w:color w:val="000000" w:themeColor="text1"/>
        </w:rPr>
        <w:t>punktā</w:t>
      </w:r>
      <w:r w:rsidR="003F0195" w:rsidRPr="00C05559">
        <w:rPr>
          <w:rFonts w:eastAsia="Calibri"/>
          <w:bCs/>
          <w:color w:val="000000" w:themeColor="text1"/>
        </w:rPr>
        <w:t xml:space="preserve"> vārdus</w:t>
      </w:r>
      <w:r w:rsidR="004310BA" w:rsidRPr="00C05559">
        <w:rPr>
          <w:rFonts w:eastAsia="Calibri"/>
          <w:bCs/>
          <w:color w:val="000000" w:themeColor="text1"/>
        </w:rPr>
        <w:t xml:space="preserve"> un ciparus</w:t>
      </w:r>
      <w:r w:rsidR="003F0195" w:rsidRPr="00C05559">
        <w:rPr>
          <w:rFonts w:eastAsia="Calibri"/>
          <w:bCs/>
          <w:color w:val="000000" w:themeColor="text1"/>
        </w:rPr>
        <w:t xml:space="preserve"> “</w:t>
      </w:r>
      <w:r w:rsidR="003F0195" w:rsidRPr="00C05559">
        <w:rPr>
          <w:rFonts w:eastAsia="Calibri"/>
          <w:color w:val="000000" w:themeColor="text1"/>
        </w:rPr>
        <w:t>un to rīcībā esošā dzīvokļa platība nepārsniedz 30.06.1998. MK noteikumos Nr.233 “Noteikumi par dokumentiem, kas apliecina personas (ģimenes) tiesības īrēt sociālo dzīvokli, un dzīvokļa kopējās platības normām”) paredzēto normu (t.i., dzīvoklim, kurā dzīvo vairākas personas, - 20 m² uz pirmo personu un 15 m² uz katru nākamo personu; vienistabas dzīvoklim, kurā dzīvo viena persona, - 35 m</w:t>
      </w:r>
      <w:r w:rsidR="003F0195" w:rsidRPr="00C05559">
        <w:rPr>
          <w:rFonts w:eastAsia="Calibri"/>
          <w:color w:val="000000" w:themeColor="text1"/>
          <w:vertAlign w:val="superscript"/>
        </w:rPr>
        <w:t>2</w:t>
      </w:r>
      <w:r w:rsidR="003F0195" w:rsidRPr="00C05559">
        <w:rPr>
          <w:rFonts w:eastAsia="Calibri"/>
          <w:color w:val="000000" w:themeColor="text1"/>
        </w:rPr>
        <w:t>)</w:t>
      </w:r>
      <w:r w:rsidRPr="00C05559">
        <w:rPr>
          <w:rFonts w:eastAsia="Calibri"/>
          <w:color w:val="000000" w:themeColor="text1"/>
        </w:rPr>
        <w:t>”</w:t>
      </w:r>
      <w:r w:rsidR="003F0195" w:rsidRPr="00C05559">
        <w:rPr>
          <w:rFonts w:eastAsia="Calibri"/>
          <w:color w:val="000000" w:themeColor="text1"/>
        </w:rPr>
        <w:t>;</w:t>
      </w:r>
    </w:p>
    <w:p w14:paraId="23AFAAD9" w14:textId="1259A8EB" w:rsidR="005A18F4" w:rsidRPr="00C05559" w:rsidRDefault="000E5CF0" w:rsidP="00C05559">
      <w:pPr>
        <w:pStyle w:val="Sarakstarindkopa"/>
        <w:numPr>
          <w:ilvl w:val="0"/>
          <w:numId w:val="4"/>
        </w:numPr>
        <w:autoSpaceDE w:val="0"/>
        <w:autoSpaceDN w:val="0"/>
        <w:adjustRightInd w:val="0"/>
        <w:jc w:val="both"/>
        <w:rPr>
          <w:rFonts w:eastAsia="Calibri"/>
          <w:bCs/>
          <w:color w:val="000000" w:themeColor="text1"/>
        </w:rPr>
      </w:pPr>
      <w:r w:rsidRPr="00C05559">
        <w:rPr>
          <w:rFonts w:eastAsia="Calibri"/>
          <w:bCs/>
          <w:color w:val="000000" w:themeColor="text1"/>
        </w:rPr>
        <w:t>a</w:t>
      </w:r>
      <w:r w:rsidR="00EB315B" w:rsidRPr="00C05559">
        <w:rPr>
          <w:rFonts w:eastAsia="Calibri"/>
          <w:bCs/>
          <w:color w:val="000000" w:themeColor="text1"/>
        </w:rPr>
        <w:t>izstāt 61.3.punktā</w:t>
      </w:r>
      <w:r w:rsidR="003F0195" w:rsidRPr="00C05559">
        <w:rPr>
          <w:rFonts w:eastAsia="Calibri"/>
          <w:bCs/>
          <w:color w:val="000000" w:themeColor="text1"/>
        </w:rPr>
        <w:t xml:space="preserve"> </w:t>
      </w:r>
      <w:r w:rsidR="006002A1" w:rsidRPr="00C05559">
        <w:rPr>
          <w:rFonts w:eastAsia="Calibri"/>
          <w:bCs/>
          <w:color w:val="000000" w:themeColor="text1"/>
        </w:rPr>
        <w:t>vārdu “Ministru kabineta noteikumos paredzēto normu” ar cipariem “35 m</w:t>
      </w:r>
      <w:r w:rsidR="006002A1" w:rsidRPr="00C05559">
        <w:rPr>
          <w:rFonts w:eastAsia="Calibri"/>
          <w:bCs/>
          <w:color w:val="000000" w:themeColor="text1"/>
          <w:vertAlign w:val="superscript"/>
        </w:rPr>
        <w:t>2</w:t>
      </w:r>
      <w:r w:rsidR="006002A1" w:rsidRPr="00C05559">
        <w:rPr>
          <w:rFonts w:eastAsia="Calibri"/>
          <w:bCs/>
          <w:color w:val="000000" w:themeColor="text1"/>
        </w:rPr>
        <w:t>”;</w:t>
      </w:r>
    </w:p>
    <w:p w14:paraId="23AFAADA" w14:textId="76EC76D2" w:rsidR="001D72EB" w:rsidRPr="00C05559" w:rsidRDefault="00EB315B" w:rsidP="00C05559">
      <w:pPr>
        <w:pStyle w:val="Sarakstarindkopa"/>
        <w:numPr>
          <w:ilvl w:val="0"/>
          <w:numId w:val="4"/>
        </w:numPr>
        <w:autoSpaceDE w:val="0"/>
        <w:autoSpaceDN w:val="0"/>
        <w:adjustRightInd w:val="0"/>
        <w:jc w:val="both"/>
        <w:rPr>
          <w:rFonts w:eastAsia="Calibri"/>
          <w:bCs/>
          <w:color w:val="000000" w:themeColor="text1"/>
        </w:rPr>
      </w:pPr>
      <w:r w:rsidRPr="00C05559">
        <w:rPr>
          <w:rFonts w:eastAsia="Calibri"/>
          <w:bCs/>
          <w:color w:val="000000" w:themeColor="text1"/>
        </w:rPr>
        <w:t>aizstāt 62.punktā</w:t>
      </w:r>
      <w:r w:rsidR="001D72EB" w:rsidRPr="00C05559">
        <w:rPr>
          <w:rFonts w:eastAsia="Calibri"/>
          <w:bCs/>
          <w:color w:val="000000" w:themeColor="text1"/>
        </w:rPr>
        <w:t xml:space="preserve"> vārdus</w:t>
      </w:r>
      <w:r w:rsidR="004310BA" w:rsidRPr="00C05559">
        <w:rPr>
          <w:rFonts w:eastAsia="Calibri"/>
          <w:bCs/>
          <w:color w:val="000000" w:themeColor="text1"/>
        </w:rPr>
        <w:t xml:space="preserve"> un ciparu</w:t>
      </w:r>
      <w:r w:rsidR="001D72EB" w:rsidRPr="00C05559">
        <w:rPr>
          <w:rFonts w:eastAsia="Calibri"/>
          <w:bCs/>
          <w:color w:val="000000" w:themeColor="text1"/>
        </w:rPr>
        <w:t xml:space="preserve"> „Par sociālajiem dzīvokļiem un sociālajām dzīvojamām mājām” 5.panta pirmajā daļā ar vārdiem </w:t>
      </w:r>
      <w:r w:rsidR="004310BA" w:rsidRPr="00C05559">
        <w:rPr>
          <w:rFonts w:eastAsia="Calibri"/>
          <w:bCs/>
          <w:color w:val="000000" w:themeColor="text1"/>
        </w:rPr>
        <w:t xml:space="preserve">un cipariem </w:t>
      </w:r>
      <w:r w:rsidR="001D72EB" w:rsidRPr="00C05559">
        <w:rPr>
          <w:rFonts w:eastAsia="Calibri"/>
          <w:bCs/>
          <w:color w:val="000000" w:themeColor="text1"/>
        </w:rPr>
        <w:t>“Par palīdzību dzīvokļa jautājumu risināšanā” 21.</w:t>
      </w:r>
      <w:r w:rsidR="001D72EB" w:rsidRPr="00C05559">
        <w:rPr>
          <w:rFonts w:eastAsia="Calibri"/>
          <w:bCs/>
          <w:color w:val="000000" w:themeColor="text1"/>
          <w:vertAlign w:val="superscript"/>
        </w:rPr>
        <w:t>6</w:t>
      </w:r>
      <w:r w:rsidR="001D72EB" w:rsidRPr="00C05559">
        <w:rPr>
          <w:rFonts w:eastAsia="Calibri"/>
          <w:bCs/>
          <w:color w:val="000000" w:themeColor="text1"/>
        </w:rPr>
        <w:t xml:space="preserve"> pantā”;</w:t>
      </w:r>
    </w:p>
    <w:p w14:paraId="725CE430" w14:textId="3D480F3F" w:rsidR="00A6094A" w:rsidRDefault="000E5CF0" w:rsidP="00C05559">
      <w:pPr>
        <w:pStyle w:val="Paraststmeklis"/>
        <w:numPr>
          <w:ilvl w:val="0"/>
          <w:numId w:val="4"/>
        </w:numPr>
        <w:tabs>
          <w:tab w:val="left" w:pos="851"/>
        </w:tabs>
        <w:spacing w:before="0" w:beforeAutospacing="0" w:after="0" w:afterAutospacing="0"/>
        <w:jc w:val="both"/>
        <w:rPr>
          <w:color w:val="000000" w:themeColor="text1"/>
          <w:lang w:val="lv-LV"/>
        </w:rPr>
      </w:pPr>
      <w:r>
        <w:rPr>
          <w:color w:val="000000" w:themeColor="text1"/>
          <w:lang w:val="lv-LV"/>
        </w:rPr>
        <w:t>p</w:t>
      </w:r>
      <w:r w:rsidR="004F4300">
        <w:rPr>
          <w:color w:val="000000" w:themeColor="text1"/>
          <w:lang w:val="lv-LV"/>
        </w:rPr>
        <w:t>apildināt saistošos noteikumus ar 62.</w:t>
      </w:r>
      <w:r w:rsidR="004F4300" w:rsidRPr="004F4300">
        <w:rPr>
          <w:color w:val="000000" w:themeColor="text1"/>
          <w:vertAlign w:val="superscript"/>
          <w:lang w:val="lv-LV"/>
        </w:rPr>
        <w:t>1</w:t>
      </w:r>
      <w:r w:rsidR="004F4300">
        <w:rPr>
          <w:color w:val="000000" w:themeColor="text1"/>
          <w:lang w:val="lv-LV"/>
        </w:rPr>
        <w:t xml:space="preserve"> punktu šādā redakcijā</w:t>
      </w:r>
      <w:r w:rsidR="00A6094A">
        <w:rPr>
          <w:color w:val="000000" w:themeColor="text1"/>
          <w:lang w:val="lv-LV"/>
        </w:rPr>
        <w:t>:</w:t>
      </w:r>
    </w:p>
    <w:p w14:paraId="23AFAADB" w14:textId="2E06946A" w:rsidR="004F4300" w:rsidRPr="004F4300" w:rsidRDefault="000E5CF0" w:rsidP="000E5CF0">
      <w:pPr>
        <w:pStyle w:val="Paraststmeklis"/>
        <w:tabs>
          <w:tab w:val="left" w:pos="851"/>
        </w:tabs>
        <w:spacing w:before="0" w:beforeAutospacing="0" w:after="0" w:afterAutospacing="0"/>
        <w:ind w:left="964" w:hanging="567"/>
        <w:jc w:val="both"/>
        <w:rPr>
          <w:color w:val="000000" w:themeColor="text1"/>
          <w:lang w:val="lv-LV"/>
        </w:rPr>
      </w:pPr>
      <w:r>
        <w:rPr>
          <w:color w:val="000000" w:themeColor="text1"/>
          <w:lang w:val="lv-LV"/>
        </w:rPr>
        <w:tab/>
      </w:r>
      <w:r>
        <w:rPr>
          <w:color w:val="000000" w:themeColor="text1"/>
          <w:lang w:val="lv-LV"/>
        </w:rPr>
        <w:tab/>
      </w:r>
      <w:r w:rsidR="004F4300">
        <w:rPr>
          <w:color w:val="000000" w:themeColor="text1"/>
          <w:lang w:val="lv-LV"/>
        </w:rPr>
        <w:t>“</w:t>
      </w:r>
      <w:r w:rsidR="00A6094A">
        <w:rPr>
          <w:color w:val="000000" w:themeColor="text1"/>
          <w:lang w:val="lv-LV"/>
        </w:rPr>
        <w:t>62.</w:t>
      </w:r>
      <w:r w:rsidR="00A6094A" w:rsidRPr="00A6094A">
        <w:rPr>
          <w:color w:val="000000" w:themeColor="text1"/>
          <w:vertAlign w:val="superscript"/>
          <w:lang w:val="lv-LV"/>
        </w:rPr>
        <w:t>1</w:t>
      </w:r>
      <w:r w:rsidR="00A6094A">
        <w:rPr>
          <w:color w:val="000000" w:themeColor="text1"/>
          <w:lang w:val="lv-LV"/>
        </w:rPr>
        <w:t xml:space="preserve"> </w:t>
      </w:r>
      <w:r w:rsidR="006335A3">
        <w:rPr>
          <w:color w:val="000000" w:themeColor="text1"/>
          <w:lang w:val="lv-LV"/>
        </w:rPr>
        <w:t xml:space="preserve">Sociālo dzīvokli ir tiesīga īrēt </w:t>
      </w:r>
      <w:r w:rsidR="004F4300" w:rsidRPr="004F4300">
        <w:rPr>
          <w:color w:val="000000" w:themeColor="text1"/>
          <w:lang w:val="lv-LV"/>
        </w:rPr>
        <w:t xml:space="preserve">Persona (ar vismaz vienu nepilngadīgu bērnu), kura ir nonākusi krīzes situācijā (ārkārtēji apstākļi, kādos persona ir nonākusi, kurus personai nebija iespējams iepriekš paredzēt vai novērst un kuru dēļ persona nespēj sevi nodrošināt ar dzīvojamo telpu), un sadarbojas ar Limbažu novada Sociālo </w:t>
      </w:r>
      <w:r>
        <w:rPr>
          <w:color w:val="000000" w:themeColor="text1"/>
          <w:lang w:val="lv-LV"/>
        </w:rPr>
        <w:t>dienestu.”</w:t>
      </w:r>
      <w:r w:rsidR="004F4300">
        <w:rPr>
          <w:color w:val="000000" w:themeColor="text1"/>
          <w:lang w:val="lv-LV"/>
        </w:rPr>
        <w:t>.</w:t>
      </w:r>
    </w:p>
    <w:p w14:paraId="23AFAADC" w14:textId="43AD9130" w:rsidR="001D72EB" w:rsidRPr="00C05559" w:rsidRDefault="001D72EB" w:rsidP="00C05559">
      <w:pPr>
        <w:pStyle w:val="Sarakstarindkopa"/>
        <w:numPr>
          <w:ilvl w:val="0"/>
          <w:numId w:val="4"/>
        </w:numPr>
        <w:autoSpaceDE w:val="0"/>
        <w:autoSpaceDN w:val="0"/>
        <w:adjustRightInd w:val="0"/>
        <w:jc w:val="both"/>
        <w:rPr>
          <w:rFonts w:eastAsia="Calibri"/>
          <w:bCs/>
          <w:color w:val="000000" w:themeColor="text1"/>
        </w:rPr>
      </w:pPr>
      <w:r w:rsidRPr="00C05559">
        <w:rPr>
          <w:rFonts w:eastAsia="Calibri"/>
          <w:bCs/>
          <w:color w:val="000000" w:themeColor="text1"/>
        </w:rPr>
        <w:t>aizstāt 67.punktā vārdus “Par sociālajiem dzīvokļiem un sociālajām dzīvojamām mājām” ar vārdiem “Par palīdzību dzīvokļa jautājumu risināšanā”;</w:t>
      </w:r>
    </w:p>
    <w:p w14:paraId="23AFAADD" w14:textId="2F918F21" w:rsidR="001D72EB" w:rsidRPr="00C05559" w:rsidRDefault="001D72EB" w:rsidP="00C05559">
      <w:pPr>
        <w:pStyle w:val="Sarakstarindkopa"/>
        <w:numPr>
          <w:ilvl w:val="0"/>
          <w:numId w:val="4"/>
        </w:numPr>
        <w:jc w:val="both"/>
        <w:rPr>
          <w:rFonts w:eastAsia="Calibri"/>
          <w:bCs/>
          <w:color w:val="000000" w:themeColor="text1"/>
        </w:rPr>
      </w:pPr>
      <w:r w:rsidRPr="00C05559">
        <w:rPr>
          <w:rFonts w:eastAsia="Calibri"/>
          <w:bCs/>
          <w:color w:val="000000" w:themeColor="text1"/>
        </w:rPr>
        <w:t>aizstāt 72.punktā vārdus</w:t>
      </w:r>
      <w:r w:rsidR="00043DA5" w:rsidRPr="00C05559">
        <w:rPr>
          <w:rFonts w:eastAsia="Calibri"/>
          <w:bCs/>
          <w:color w:val="000000" w:themeColor="text1"/>
        </w:rPr>
        <w:t xml:space="preserve"> un ciparu</w:t>
      </w:r>
      <w:r w:rsidRPr="00C05559">
        <w:rPr>
          <w:rFonts w:eastAsia="Calibri"/>
          <w:bCs/>
          <w:color w:val="000000" w:themeColor="text1"/>
        </w:rPr>
        <w:t xml:space="preserve"> “līdz 6 mēnešiem” ar vārdiem “kas nav ilgāks par diviem gadiem”;</w:t>
      </w:r>
    </w:p>
    <w:p w14:paraId="23AFAADE" w14:textId="2594C2D7" w:rsidR="001D72EB" w:rsidRPr="00C05559" w:rsidRDefault="001D72EB" w:rsidP="00C05559">
      <w:pPr>
        <w:pStyle w:val="Sarakstarindkopa"/>
        <w:numPr>
          <w:ilvl w:val="0"/>
          <w:numId w:val="4"/>
        </w:numPr>
        <w:jc w:val="both"/>
        <w:rPr>
          <w:rFonts w:eastAsia="Calibri"/>
          <w:bCs/>
          <w:color w:val="000000" w:themeColor="text1"/>
        </w:rPr>
      </w:pPr>
      <w:r w:rsidRPr="00C05559">
        <w:rPr>
          <w:rFonts w:eastAsia="Calibri"/>
          <w:bCs/>
          <w:color w:val="000000" w:themeColor="text1"/>
        </w:rPr>
        <w:t>aizstāt 79.punktā vārdus</w:t>
      </w:r>
      <w:r w:rsidR="00043DA5" w:rsidRPr="00C05559">
        <w:rPr>
          <w:rFonts w:eastAsia="Calibri"/>
          <w:bCs/>
          <w:color w:val="000000" w:themeColor="text1"/>
        </w:rPr>
        <w:t xml:space="preserve"> un ciparu</w:t>
      </w:r>
      <w:r w:rsidRPr="00C05559">
        <w:rPr>
          <w:rFonts w:eastAsia="Calibri"/>
          <w:bCs/>
          <w:color w:val="000000" w:themeColor="text1"/>
        </w:rPr>
        <w:t xml:space="preserve"> </w:t>
      </w:r>
      <w:r w:rsidRPr="00C05559">
        <w:rPr>
          <w:color w:val="000000" w:themeColor="text1"/>
        </w:rPr>
        <w:t>„Par sociālajiem dzīvokļiem un sociālajam dzīvojamām mājām” 5.panta pirmās daļas” ar vārdiem</w:t>
      </w:r>
      <w:r w:rsidR="00043DA5" w:rsidRPr="00C05559">
        <w:rPr>
          <w:color w:val="000000" w:themeColor="text1"/>
        </w:rPr>
        <w:t xml:space="preserve"> un cipariem</w:t>
      </w:r>
      <w:r w:rsidRPr="00C05559">
        <w:rPr>
          <w:color w:val="000000" w:themeColor="text1"/>
        </w:rPr>
        <w:t xml:space="preserve"> “Par palīdzību dzīvokļa jautājumu risināšanā” 21.</w:t>
      </w:r>
      <w:r w:rsidRPr="00C05559">
        <w:rPr>
          <w:color w:val="000000" w:themeColor="text1"/>
          <w:vertAlign w:val="superscript"/>
        </w:rPr>
        <w:t>6</w:t>
      </w:r>
      <w:r w:rsidRPr="00C05559">
        <w:rPr>
          <w:color w:val="000000" w:themeColor="text1"/>
        </w:rPr>
        <w:t xml:space="preserve"> panta”;</w:t>
      </w:r>
    </w:p>
    <w:p w14:paraId="23AFAADF" w14:textId="7140DA93" w:rsidR="001D72EB" w:rsidRPr="00C05559" w:rsidRDefault="001D72EB" w:rsidP="00C05559">
      <w:pPr>
        <w:pStyle w:val="Sarakstarindkopa"/>
        <w:numPr>
          <w:ilvl w:val="0"/>
          <w:numId w:val="4"/>
        </w:numPr>
        <w:rPr>
          <w:rFonts w:eastAsia="Calibri"/>
          <w:bCs/>
          <w:color w:val="000000" w:themeColor="text1"/>
        </w:rPr>
      </w:pPr>
      <w:r w:rsidRPr="00C05559">
        <w:rPr>
          <w:rFonts w:eastAsia="Calibri"/>
          <w:bCs/>
          <w:color w:val="000000" w:themeColor="text1"/>
        </w:rPr>
        <w:t>aizstāt 80.punktā vārdus “</w:t>
      </w:r>
      <w:r w:rsidRPr="00C05559">
        <w:rPr>
          <w:color w:val="000000" w:themeColor="text1"/>
        </w:rPr>
        <w:t>pašvaldības domes” ar vārdu” Komisijas”.</w:t>
      </w:r>
    </w:p>
    <w:p w14:paraId="23AFAAE5" w14:textId="77777777" w:rsidR="001D72EB" w:rsidRDefault="001D72EB" w:rsidP="001D72EB">
      <w:pPr>
        <w:jc w:val="both"/>
      </w:pPr>
    </w:p>
    <w:p w14:paraId="23AFAAE6" w14:textId="77777777" w:rsidR="001D72EB" w:rsidRDefault="001D72EB" w:rsidP="001D72EB">
      <w:pPr>
        <w:tabs>
          <w:tab w:val="left" w:pos="1640"/>
        </w:tabs>
      </w:pPr>
    </w:p>
    <w:p w14:paraId="23AFAAE7" w14:textId="77777777" w:rsidR="001D72EB" w:rsidRPr="00E67C1E" w:rsidRDefault="001D72EB" w:rsidP="001D72EB">
      <w:pPr>
        <w:jc w:val="both"/>
      </w:pPr>
      <w:r w:rsidRPr="00E67C1E">
        <w:t>Limbažu novada pašvaldības</w:t>
      </w:r>
    </w:p>
    <w:p w14:paraId="23AFAAE8" w14:textId="77777777" w:rsidR="001D72EB" w:rsidRDefault="001D72EB" w:rsidP="001D72EB">
      <w:pPr>
        <w:jc w:val="both"/>
      </w:pPr>
      <w:r w:rsidRPr="00E67C1E">
        <w:t>Domes priekšsēdētājs</w:t>
      </w:r>
      <w:r w:rsidRPr="00E67C1E">
        <w:tab/>
      </w:r>
      <w:r w:rsidRPr="00E67C1E">
        <w:tab/>
      </w:r>
      <w:r w:rsidRPr="00E67C1E">
        <w:tab/>
      </w:r>
      <w:r w:rsidRPr="00E67C1E">
        <w:tab/>
      </w:r>
      <w:r w:rsidRPr="00E67C1E">
        <w:tab/>
      </w:r>
      <w:r w:rsidRPr="00E67C1E">
        <w:tab/>
      </w:r>
      <w:r w:rsidRPr="00E67C1E">
        <w:tab/>
      </w:r>
      <w:r w:rsidRPr="00E67C1E">
        <w:tab/>
      </w:r>
      <w:r w:rsidRPr="00E67C1E">
        <w:tab/>
        <w:t xml:space="preserve">D. </w:t>
      </w:r>
      <w:proofErr w:type="spellStart"/>
      <w:r w:rsidRPr="00E67C1E">
        <w:t>Straubergs</w:t>
      </w:r>
      <w:proofErr w:type="spellEnd"/>
    </w:p>
    <w:p w14:paraId="23AFAAEA" w14:textId="77777777" w:rsidR="00C428A9" w:rsidRDefault="00C428A9"/>
    <w:p w14:paraId="1E93B98A" w14:textId="77777777" w:rsidR="000E5CF0" w:rsidRDefault="000E5CF0"/>
    <w:p w14:paraId="03FC47AF" w14:textId="77777777" w:rsidR="000E5CF0" w:rsidRPr="000E5CF0" w:rsidRDefault="000E5CF0" w:rsidP="000E5CF0">
      <w:pPr>
        <w:jc w:val="both"/>
        <w:rPr>
          <w:rFonts w:eastAsia="Calibri"/>
          <w:b/>
          <w:sz w:val="18"/>
          <w:szCs w:val="18"/>
          <w:lang w:eastAsia="en-US"/>
        </w:rPr>
      </w:pPr>
      <w:r w:rsidRPr="000E5CF0">
        <w:rPr>
          <w:rFonts w:eastAsia="Calibri"/>
          <w:b/>
          <w:sz w:val="18"/>
          <w:szCs w:val="18"/>
          <w:lang w:eastAsia="en-US"/>
        </w:rPr>
        <w:t>ŠIS DOKUMENTS IR PARAKSTĪTS AR DROŠU ELEKTRONISKO PARAKSTU UN SATUR LAIKA ZĪMOGU</w:t>
      </w:r>
    </w:p>
    <w:p w14:paraId="24419BA1" w14:textId="77777777" w:rsidR="000E5CF0" w:rsidRDefault="000E5CF0"/>
    <w:sectPr w:rsidR="000E5CF0" w:rsidSect="00A40277">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82CB14" w14:textId="77777777" w:rsidR="006E3751" w:rsidRDefault="006E3751" w:rsidP="00804116">
      <w:r>
        <w:separator/>
      </w:r>
    </w:p>
  </w:endnote>
  <w:endnote w:type="continuationSeparator" w:id="0">
    <w:p w14:paraId="07541897" w14:textId="77777777" w:rsidR="006E3751" w:rsidRDefault="006E3751" w:rsidP="0080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6680D" w14:textId="77777777" w:rsidR="006E3751" w:rsidRDefault="006E3751" w:rsidP="00804116">
      <w:r>
        <w:separator/>
      </w:r>
    </w:p>
  </w:footnote>
  <w:footnote w:type="continuationSeparator" w:id="0">
    <w:p w14:paraId="7C5F3BAF" w14:textId="77777777" w:rsidR="006E3751" w:rsidRDefault="006E3751" w:rsidP="00804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6877243"/>
      <w:docPartObj>
        <w:docPartGallery w:val="Page Numbers (Top of Page)"/>
        <w:docPartUnique/>
      </w:docPartObj>
    </w:sdtPr>
    <w:sdtEndPr/>
    <w:sdtContent>
      <w:p w14:paraId="4108DEEB" w14:textId="5C5A9F60" w:rsidR="000E5CF0" w:rsidRDefault="000E5CF0">
        <w:pPr>
          <w:pStyle w:val="Galvene"/>
          <w:jc w:val="center"/>
        </w:pPr>
        <w:r>
          <w:fldChar w:fldCharType="begin"/>
        </w:r>
        <w:r>
          <w:instrText>PAGE   \* MERGEFORMAT</w:instrText>
        </w:r>
        <w:r>
          <w:fldChar w:fldCharType="separate"/>
        </w:r>
        <w:r w:rsidR="00C05559">
          <w:rPr>
            <w:noProof/>
          </w:rPr>
          <w:t>2</w:t>
        </w:r>
        <w:r>
          <w:fldChar w:fldCharType="end"/>
        </w:r>
      </w:p>
    </w:sdtContent>
  </w:sdt>
  <w:p w14:paraId="277B28CA" w14:textId="77777777" w:rsidR="000E5CF0" w:rsidRDefault="000E5CF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77BA65" w14:textId="77777777" w:rsidR="00A40277" w:rsidRDefault="00A40277" w:rsidP="00A40277">
    <w:pPr>
      <w:keepNext/>
      <w:jc w:val="center"/>
      <w:outlineLvl w:val="0"/>
      <w:rPr>
        <w:b/>
        <w:bCs/>
        <w:caps/>
        <w:sz w:val="32"/>
        <w:szCs w:val="32"/>
        <w:lang w:eastAsia="x-none"/>
      </w:rPr>
    </w:pPr>
    <w:r w:rsidRPr="00474EAE">
      <w:rPr>
        <w:caps/>
        <w:noProof/>
      </w:rPr>
      <w:drawing>
        <wp:inline distT="0" distB="0" distL="0" distR="0" wp14:anchorId="63DE068A" wp14:editId="57ADCAF3">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0366013" w14:textId="77777777" w:rsidR="00A40277" w:rsidRPr="005116AC" w:rsidRDefault="00A40277" w:rsidP="00A40277">
    <w:pPr>
      <w:jc w:val="center"/>
      <w:rPr>
        <w:b/>
        <w:bCs/>
        <w:caps/>
        <w:sz w:val="28"/>
        <w:szCs w:val="28"/>
      </w:rPr>
    </w:pPr>
    <w:r w:rsidRPr="005116AC">
      <w:rPr>
        <w:b/>
        <w:bCs/>
        <w:caps/>
        <w:noProof/>
        <w:sz w:val="28"/>
        <w:szCs w:val="28"/>
      </w:rPr>
      <w:t>Limbažu novada DOME</w:t>
    </w:r>
  </w:p>
  <w:p w14:paraId="51109942" w14:textId="77777777" w:rsidR="00A40277" w:rsidRPr="005116AC" w:rsidRDefault="00A40277" w:rsidP="00A40277">
    <w:pPr>
      <w:jc w:val="center"/>
      <w:rPr>
        <w:sz w:val="18"/>
        <w:szCs w:val="20"/>
      </w:rPr>
    </w:pPr>
    <w:proofErr w:type="spellStart"/>
    <w:r w:rsidRPr="005116AC">
      <w:rPr>
        <w:sz w:val="18"/>
        <w:szCs w:val="20"/>
      </w:rPr>
      <w:t>Reģ</w:t>
    </w:r>
    <w:proofErr w:type="spellEnd"/>
    <w:r w:rsidRPr="005116AC">
      <w:rPr>
        <w:sz w:val="18"/>
        <w:szCs w:val="20"/>
      </w:rPr>
      <w:t xml:space="preserve">. Nr. </w:t>
    </w:r>
    <w:r w:rsidRPr="005116AC">
      <w:rPr>
        <w:noProof/>
        <w:sz w:val="18"/>
        <w:szCs w:val="20"/>
      </w:rPr>
      <w:t>90009114631</w:t>
    </w:r>
    <w:r w:rsidRPr="005116AC">
      <w:rPr>
        <w:sz w:val="18"/>
        <w:szCs w:val="20"/>
      </w:rPr>
      <w:t xml:space="preserve">; </w:t>
    </w:r>
    <w:r w:rsidRPr="005116AC">
      <w:rPr>
        <w:noProof/>
        <w:sz w:val="18"/>
        <w:szCs w:val="20"/>
      </w:rPr>
      <w:t>Rīgas iela 16, Limbaži, Limbažu novads LV-4001</w:t>
    </w:r>
    <w:r w:rsidRPr="005116AC">
      <w:rPr>
        <w:sz w:val="18"/>
        <w:szCs w:val="20"/>
      </w:rPr>
      <w:t xml:space="preserve">; </w:t>
    </w:r>
  </w:p>
  <w:p w14:paraId="04D46973" w14:textId="77777777" w:rsidR="00A40277" w:rsidRPr="005116AC" w:rsidRDefault="00A40277" w:rsidP="00A40277">
    <w:pPr>
      <w:jc w:val="center"/>
      <w:rPr>
        <w:sz w:val="18"/>
        <w:szCs w:val="20"/>
      </w:rPr>
    </w:pPr>
    <w:r w:rsidRPr="005116AC">
      <w:rPr>
        <w:sz w:val="18"/>
        <w:szCs w:val="20"/>
      </w:rPr>
      <w:t>E-pasts</w:t>
    </w:r>
    <w:r w:rsidRPr="005116AC">
      <w:rPr>
        <w:iCs/>
        <w:sz w:val="18"/>
        <w:szCs w:val="20"/>
      </w:rPr>
      <w:t xml:space="preserve"> </w:t>
    </w:r>
    <w:r w:rsidRPr="005116AC">
      <w:rPr>
        <w:iCs/>
        <w:noProof/>
        <w:sz w:val="18"/>
        <w:szCs w:val="20"/>
      </w:rPr>
      <w:t>pasts@limbazunovads.lv</w:t>
    </w:r>
    <w:r w:rsidRPr="005116AC">
      <w:rPr>
        <w:iCs/>
        <w:sz w:val="18"/>
        <w:szCs w:val="20"/>
      </w:rPr>
      <w:t>;</w:t>
    </w:r>
    <w:r w:rsidRPr="005116AC">
      <w:rPr>
        <w:sz w:val="18"/>
        <w:szCs w:val="20"/>
      </w:rPr>
      <w:t xml:space="preserve"> tālrunis </w:t>
    </w:r>
    <w:r w:rsidRPr="005116AC">
      <w:rPr>
        <w:noProof/>
        <w:sz w:val="18"/>
        <w:szCs w:val="20"/>
      </w:rPr>
      <w:t>64023003</w:t>
    </w:r>
  </w:p>
  <w:p w14:paraId="06949D98" w14:textId="77777777" w:rsidR="00A40277" w:rsidRDefault="00A4027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05746"/>
    <w:multiLevelType w:val="multilevel"/>
    <w:tmpl w:val="094ACD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204125"/>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 w15:restartNumberingAfterBreak="0">
    <w:nsid w:val="39C0334E"/>
    <w:multiLevelType w:val="hybridMultilevel"/>
    <w:tmpl w:val="6C22E6B2"/>
    <w:lvl w:ilvl="0" w:tplc="A1A8314A">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71547982"/>
    <w:multiLevelType w:val="multilevel"/>
    <w:tmpl w:val="6C8C9FB8"/>
    <w:lvl w:ilvl="0">
      <w:start w:val="1"/>
      <w:numFmt w:val="decimal"/>
      <w:lvlText w:val="%1."/>
      <w:lvlJc w:val="left"/>
      <w:pPr>
        <w:ind w:left="480" w:hanging="480"/>
      </w:pPr>
      <w:rPr>
        <w:rFonts w:hint="default"/>
        <w:b w:val="0"/>
        <w:bCs/>
        <w:color w:val="000000"/>
      </w:rPr>
    </w:lvl>
    <w:lvl w:ilvl="1">
      <w:start w:val="1"/>
      <w:numFmt w:val="decimal"/>
      <w:lvlText w:val="%1.%2."/>
      <w:lvlJc w:val="left"/>
      <w:pPr>
        <w:ind w:left="7427" w:hanging="480"/>
      </w:pPr>
      <w:rPr>
        <w:rFonts w:hint="default"/>
        <w:strike w:val="0"/>
        <w:color w:val="000000" w:themeColor="text1"/>
      </w:rPr>
    </w:lvl>
    <w:lvl w:ilvl="2">
      <w:start w:val="1"/>
      <w:numFmt w:val="decimal"/>
      <w:lvlText w:val="%1.%2.%3."/>
      <w:lvlJc w:val="left"/>
      <w:pPr>
        <w:ind w:left="3414" w:hanging="720"/>
      </w:pPr>
      <w:rPr>
        <w:rFonts w:hint="default"/>
        <w:strike w:val="0"/>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2EB"/>
    <w:rsid w:val="00043DA5"/>
    <w:rsid w:val="000E5CF0"/>
    <w:rsid w:val="001D72EB"/>
    <w:rsid w:val="003F0195"/>
    <w:rsid w:val="004310BA"/>
    <w:rsid w:val="004F4300"/>
    <w:rsid w:val="005A18F4"/>
    <w:rsid w:val="006002A1"/>
    <w:rsid w:val="006335A3"/>
    <w:rsid w:val="006E3751"/>
    <w:rsid w:val="00776261"/>
    <w:rsid w:val="00804116"/>
    <w:rsid w:val="008366A3"/>
    <w:rsid w:val="00A37F81"/>
    <w:rsid w:val="00A40277"/>
    <w:rsid w:val="00A6094A"/>
    <w:rsid w:val="00C05559"/>
    <w:rsid w:val="00C428A9"/>
    <w:rsid w:val="00DD4401"/>
    <w:rsid w:val="00E01741"/>
    <w:rsid w:val="00EB315B"/>
    <w:rsid w:val="00FE46E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FAABD"/>
  <w15:docId w15:val="{EC0CA266-EA5F-4E5E-A850-8BB051BD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D72EB"/>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qFormat/>
    <w:rsid w:val="001D72E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Sarakstarindkopa">
    <w:name w:val="List Paragraph"/>
    <w:basedOn w:val="Parasts"/>
    <w:uiPriority w:val="34"/>
    <w:qFormat/>
    <w:rsid w:val="001D72EB"/>
    <w:pPr>
      <w:ind w:left="720"/>
      <w:contextualSpacing/>
    </w:pPr>
  </w:style>
  <w:style w:type="paragraph" w:customStyle="1" w:styleId="naisc">
    <w:name w:val="naisc"/>
    <w:basedOn w:val="Parasts"/>
    <w:rsid w:val="001D72EB"/>
    <w:pPr>
      <w:spacing w:before="75" w:after="75"/>
      <w:jc w:val="center"/>
    </w:pPr>
  </w:style>
  <w:style w:type="paragraph" w:styleId="Paraststmeklis">
    <w:name w:val="Normal (Web)"/>
    <w:basedOn w:val="Parasts"/>
    <w:uiPriority w:val="99"/>
    <w:unhideWhenUsed/>
    <w:rsid w:val="004F4300"/>
    <w:pPr>
      <w:spacing w:before="100" w:beforeAutospacing="1" w:after="100" w:afterAutospacing="1"/>
    </w:pPr>
    <w:rPr>
      <w:lang w:val="en-GB" w:eastAsia="en-US"/>
    </w:rPr>
  </w:style>
  <w:style w:type="paragraph" w:styleId="Galvene">
    <w:name w:val="header"/>
    <w:basedOn w:val="Parasts"/>
    <w:link w:val="GalveneRakstz"/>
    <w:uiPriority w:val="99"/>
    <w:unhideWhenUsed/>
    <w:rsid w:val="00804116"/>
    <w:pPr>
      <w:tabs>
        <w:tab w:val="center" w:pos="4153"/>
        <w:tab w:val="right" w:pos="8306"/>
      </w:tabs>
    </w:pPr>
  </w:style>
  <w:style w:type="character" w:customStyle="1" w:styleId="GalveneRakstz">
    <w:name w:val="Galvene Rakstz."/>
    <w:basedOn w:val="Noklusjumarindkopasfonts"/>
    <w:link w:val="Galvene"/>
    <w:uiPriority w:val="99"/>
    <w:rsid w:val="0080411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04116"/>
    <w:pPr>
      <w:tabs>
        <w:tab w:val="center" w:pos="4153"/>
        <w:tab w:val="right" w:pos="8306"/>
      </w:tabs>
    </w:pPr>
  </w:style>
  <w:style w:type="character" w:customStyle="1" w:styleId="KjeneRakstz">
    <w:name w:val="Kājene Rakstz."/>
    <w:basedOn w:val="Noklusjumarindkopasfonts"/>
    <w:link w:val="Kjene"/>
    <w:uiPriority w:val="99"/>
    <w:rsid w:val="00804116"/>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6335A3"/>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6335A3"/>
    <w:rPr>
      <w:rFonts w:ascii="Tahoma" w:eastAsia="Times New Roman" w:hAnsi="Tahoma" w:cs="Tahoma"/>
      <w:sz w:val="16"/>
      <w:szCs w:val="16"/>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2654</Words>
  <Characters>1513</Characters>
  <Application>Microsoft Office Word</Application>
  <DocSecurity>0</DocSecurity>
  <Lines>12</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19</cp:revision>
  <dcterms:created xsi:type="dcterms:W3CDTF">2022-02-18T10:39:00Z</dcterms:created>
  <dcterms:modified xsi:type="dcterms:W3CDTF">2022-04-19T08:35:00Z</dcterms:modified>
</cp:coreProperties>
</file>